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3B72B" w14:textId="1841EEA7" w:rsidR="001B6F1D" w:rsidRDefault="00443E54" w:rsidP="001B6F1D">
      <w:pPr>
        <w:pStyle w:val="Default"/>
        <w:jc w:val="both"/>
      </w:pPr>
      <w:r>
        <w:t xml:space="preserve"> </w:t>
      </w:r>
    </w:p>
    <w:p w14:paraId="6126ED0C" w14:textId="201229F2" w:rsidR="001B6F1D" w:rsidRDefault="001B6F1D" w:rsidP="001B6F1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Guía indagatoria de la CCSS para permisos de regencia y/u operación provisionales</w:t>
      </w:r>
    </w:p>
    <w:p w14:paraId="175C3234" w14:textId="77777777" w:rsidR="001B6F1D" w:rsidRDefault="001B6F1D" w:rsidP="001B6F1D">
      <w:pPr>
        <w:pStyle w:val="Default"/>
        <w:jc w:val="both"/>
        <w:rPr>
          <w:sz w:val="32"/>
          <w:szCs w:val="32"/>
        </w:rPr>
      </w:pPr>
    </w:p>
    <w:p w14:paraId="40A9A1E6" w14:textId="57D7590F" w:rsidR="001B6F1D" w:rsidRPr="001B6F1D" w:rsidRDefault="001B6F1D" w:rsidP="001B6F1D">
      <w:pPr>
        <w:pStyle w:val="Default"/>
        <w:jc w:val="both"/>
        <w:rPr>
          <w:sz w:val="22"/>
          <w:szCs w:val="22"/>
        </w:rPr>
      </w:pPr>
      <w:r w:rsidRPr="001B6F1D">
        <w:rPr>
          <w:sz w:val="22"/>
          <w:szCs w:val="22"/>
        </w:rPr>
        <w:t xml:space="preserve">La presentación de esta Guía indagatoria se basa </w:t>
      </w:r>
      <w:r w:rsidR="00D00471">
        <w:rPr>
          <w:sz w:val="22"/>
          <w:szCs w:val="22"/>
        </w:rPr>
        <w:t xml:space="preserve">en el </w:t>
      </w:r>
      <w:r w:rsidR="00D00471" w:rsidRPr="00D00471">
        <w:rPr>
          <w:sz w:val="22"/>
          <w:szCs w:val="22"/>
        </w:rPr>
        <w:t>Lineamiento para la Aplicación de los incisos 1) y 3) del artículo 74 de la Ley Constitutiva de la Caja</w:t>
      </w:r>
      <w:r w:rsidR="00D00471">
        <w:rPr>
          <w:sz w:val="22"/>
          <w:szCs w:val="22"/>
        </w:rPr>
        <w:t xml:space="preserve"> Costarricense de Seguro Social (CCSS)</w:t>
      </w:r>
      <w:r w:rsidR="00D00471" w:rsidRPr="00D00471">
        <w:rPr>
          <w:sz w:val="22"/>
          <w:szCs w:val="22"/>
        </w:rPr>
        <w:t xml:space="preserve"> y el numeral 65 del Reglamento a la Ley de Contratación Administrativa</w:t>
      </w:r>
      <w:r w:rsidRPr="001B6F1D">
        <w:rPr>
          <w:sz w:val="22"/>
          <w:szCs w:val="22"/>
        </w:rPr>
        <w:t>, en el cual se establece lo siguiente:</w:t>
      </w:r>
    </w:p>
    <w:p w14:paraId="7BEB27A8" w14:textId="77777777" w:rsidR="001B6F1D" w:rsidRDefault="001B6F1D" w:rsidP="001B6F1D">
      <w:pPr>
        <w:pStyle w:val="Default"/>
        <w:jc w:val="both"/>
        <w:rPr>
          <w:sz w:val="32"/>
          <w:szCs w:val="32"/>
        </w:rPr>
      </w:pPr>
    </w:p>
    <w:p w14:paraId="2D60CC16" w14:textId="77777777" w:rsidR="001B6F1D" w:rsidRPr="001B6F1D" w:rsidRDefault="001B6F1D" w:rsidP="001B6F1D">
      <w:pPr>
        <w:pStyle w:val="Default"/>
        <w:jc w:val="both"/>
        <w:rPr>
          <w:i/>
          <w:iCs/>
          <w:sz w:val="22"/>
          <w:szCs w:val="22"/>
        </w:rPr>
      </w:pPr>
      <w:r w:rsidRPr="001B6F1D">
        <w:rPr>
          <w:i/>
          <w:iCs/>
          <w:sz w:val="22"/>
          <w:szCs w:val="22"/>
        </w:rPr>
        <w:t xml:space="preserve">Articulo 4 ° De la indagación de los patronos o trabajadores independientes no inscritos o inactivos. Cuando una persona física o jurídica participe de un procedimiento de compra u otro trámite administrativo para el cual requiera acreditar su condición de patrono o trabajador independiente y, no obstante ello, la Caja Certifique que se encuentra no inscrita o inactivo, la Administración interesada deberá indagar con el gestionaste la condición que ostenta. </w:t>
      </w:r>
    </w:p>
    <w:p w14:paraId="1833B162" w14:textId="77777777" w:rsidR="001B6F1D" w:rsidRDefault="001B6F1D" w:rsidP="001B6F1D">
      <w:pPr>
        <w:pStyle w:val="Default"/>
        <w:jc w:val="both"/>
        <w:rPr>
          <w:sz w:val="22"/>
          <w:szCs w:val="22"/>
        </w:rPr>
      </w:pPr>
    </w:p>
    <w:p w14:paraId="3D5387E3" w14:textId="671E4C09" w:rsidR="000E79C7" w:rsidRDefault="000E79C7" w:rsidP="001B6F1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 continuación</w:t>
      </w:r>
      <w:r w:rsidR="00AD5962">
        <w:rPr>
          <w:sz w:val="22"/>
          <w:szCs w:val="22"/>
        </w:rPr>
        <w:t>,</w:t>
      </w:r>
      <w:r>
        <w:rPr>
          <w:sz w:val="22"/>
          <w:szCs w:val="22"/>
        </w:rPr>
        <w:t xml:space="preserve"> se muestran una serie de preguntas. Conteste a cada una basado en la realidad actual </w:t>
      </w:r>
      <w:r w:rsidR="00AD5962">
        <w:rPr>
          <w:sz w:val="22"/>
          <w:szCs w:val="22"/>
        </w:rPr>
        <w:t>de su establecimiento</w:t>
      </w:r>
      <w:r w:rsidR="00C92856">
        <w:rPr>
          <w:sz w:val="22"/>
          <w:szCs w:val="22"/>
        </w:rPr>
        <w:t xml:space="preserve"> como una guía para elaborar es</w:t>
      </w:r>
      <w:r w:rsidR="001151A5">
        <w:rPr>
          <w:sz w:val="22"/>
          <w:szCs w:val="22"/>
        </w:rPr>
        <w:t>ta indagatoria</w:t>
      </w:r>
      <w:r w:rsidR="00AD5962">
        <w:rPr>
          <w:sz w:val="22"/>
          <w:szCs w:val="22"/>
        </w:rPr>
        <w:t>:</w:t>
      </w:r>
    </w:p>
    <w:p w14:paraId="0556B2BE" w14:textId="77777777" w:rsidR="00AD5962" w:rsidRDefault="00AD5962" w:rsidP="001B6F1D">
      <w:pPr>
        <w:pStyle w:val="Default"/>
        <w:jc w:val="both"/>
        <w:rPr>
          <w:sz w:val="22"/>
          <w:szCs w:val="22"/>
        </w:rPr>
      </w:pPr>
    </w:p>
    <w:p w14:paraId="214F781D" w14:textId="2A91B356" w:rsidR="001B6F1D" w:rsidRDefault="001B6F1D" w:rsidP="001B6F1D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AD5962">
        <w:rPr>
          <w:sz w:val="22"/>
          <w:szCs w:val="22"/>
        </w:rPr>
        <w:t>¿Cuáles son l</w:t>
      </w:r>
      <w:r>
        <w:rPr>
          <w:sz w:val="22"/>
          <w:szCs w:val="22"/>
        </w:rPr>
        <w:t>as razones por las cuales se encuentra inactivo o no inscrito ante la Caja</w:t>
      </w:r>
      <w:r w:rsidR="00AD5962">
        <w:rPr>
          <w:sz w:val="22"/>
          <w:szCs w:val="22"/>
        </w:rPr>
        <w:t>?</w:t>
      </w:r>
    </w:p>
    <w:p w14:paraId="00BFB28D" w14:textId="467AD10B" w:rsidR="001B6F1D" w:rsidRDefault="001B6F1D" w:rsidP="001B6F1D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CA14C4">
        <w:rPr>
          <w:sz w:val="22"/>
          <w:szCs w:val="22"/>
        </w:rPr>
        <w:t>¿Cuál es l</w:t>
      </w:r>
      <w:r>
        <w:rPr>
          <w:sz w:val="22"/>
          <w:szCs w:val="22"/>
        </w:rPr>
        <w:t>a actividad que desarrolla</w:t>
      </w:r>
      <w:r w:rsidR="00CA14C4">
        <w:rPr>
          <w:sz w:val="22"/>
          <w:szCs w:val="22"/>
        </w:rPr>
        <w:t xml:space="preserve"> en su establecimiento? ¿Cuál es la </w:t>
      </w:r>
      <w:r>
        <w:rPr>
          <w:sz w:val="22"/>
          <w:szCs w:val="22"/>
        </w:rPr>
        <w:t>duración y frecuencia</w:t>
      </w:r>
      <w:r w:rsidR="00776BB4">
        <w:rPr>
          <w:sz w:val="22"/>
          <w:szCs w:val="22"/>
        </w:rPr>
        <w:t xml:space="preserve"> de dicha actividad?</w:t>
      </w:r>
      <w:r>
        <w:rPr>
          <w:sz w:val="22"/>
          <w:szCs w:val="22"/>
        </w:rPr>
        <w:t xml:space="preserve"> </w:t>
      </w:r>
      <w:r w:rsidR="007E78C5">
        <w:rPr>
          <w:sz w:val="22"/>
          <w:szCs w:val="22"/>
        </w:rPr>
        <w:t>¿</w:t>
      </w:r>
      <w:r w:rsidR="00C30147">
        <w:rPr>
          <w:sz w:val="22"/>
          <w:szCs w:val="22"/>
        </w:rPr>
        <w:t>C</w:t>
      </w:r>
      <w:r w:rsidR="007E78C5">
        <w:rPr>
          <w:sz w:val="22"/>
          <w:szCs w:val="22"/>
        </w:rPr>
        <w:t>uándo inició</w:t>
      </w:r>
      <w:r w:rsidR="00C30147">
        <w:rPr>
          <w:sz w:val="22"/>
          <w:szCs w:val="22"/>
        </w:rPr>
        <w:t xml:space="preserve"> la actividad? ¿E</w:t>
      </w:r>
      <w:r>
        <w:rPr>
          <w:sz w:val="22"/>
          <w:szCs w:val="22"/>
        </w:rPr>
        <w:t>s una actividad ordinaria o temporal</w:t>
      </w:r>
      <w:r w:rsidR="007E78C5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645B9A75" w14:textId="07005E00" w:rsidR="001B6F1D" w:rsidRDefault="001B6F1D" w:rsidP="007632A0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7632A0">
        <w:rPr>
          <w:color w:val="auto"/>
          <w:sz w:val="22"/>
          <w:szCs w:val="22"/>
        </w:rPr>
        <w:t xml:space="preserve">. </w:t>
      </w:r>
      <w:r w:rsidR="007632A0" w:rsidRPr="007632A0">
        <w:rPr>
          <w:color w:val="auto"/>
          <w:sz w:val="22"/>
          <w:szCs w:val="22"/>
        </w:rPr>
        <w:t>¿Cuál es la c</w:t>
      </w:r>
      <w:r w:rsidR="005549C1" w:rsidRPr="007632A0">
        <w:rPr>
          <w:color w:val="auto"/>
          <w:sz w:val="22"/>
          <w:szCs w:val="22"/>
        </w:rPr>
        <w:t>antidad de personas que laborarán en el establecimiento</w:t>
      </w:r>
      <w:r w:rsidR="007632A0" w:rsidRPr="007632A0">
        <w:rPr>
          <w:color w:val="auto"/>
          <w:sz w:val="22"/>
          <w:szCs w:val="22"/>
        </w:rPr>
        <w:t>?</w:t>
      </w:r>
      <w:r w:rsidR="005549C1" w:rsidRPr="007632A0">
        <w:rPr>
          <w:color w:val="auto"/>
          <w:sz w:val="22"/>
          <w:szCs w:val="22"/>
        </w:rPr>
        <w:t xml:space="preserve"> </w:t>
      </w:r>
    </w:p>
    <w:p w14:paraId="29416BF2" w14:textId="77777777" w:rsidR="001B6F1D" w:rsidRDefault="001B6F1D" w:rsidP="001B6F1D">
      <w:pPr>
        <w:pStyle w:val="Default"/>
        <w:jc w:val="both"/>
        <w:rPr>
          <w:sz w:val="22"/>
          <w:szCs w:val="22"/>
        </w:rPr>
      </w:pPr>
    </w:p>
    <w:p w14:paraId="4DD6FCE7" w14:textId="0A6153D3" w:rsidR="001B6F1D" w:rsidRDefault="001B6F1D" w:rsidP="001B6F1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lo anterior, el Colegio de Farmacéuticos, </w:t>
      </w:r>
      <w:r w:rsidR="00B2776F">
        <w:rPr>
          <w:sz w:val="22"/>
          <w:szCs w:val="22"/>
        </w:rPr>
        <w:t>insta</w:t>
      </w:r>
      <w:r>
        <w:rPr>
          <w:sz w:val="22"/>
          <w:szCs w:val="22"/>
        </w:rPr>
        <w:t xml:space="preserve"> a los establecimientos farmacéuticos que soliciten trámite de apertura sin contar con la inscripción patronal, que envíen una nota dirigida a la Fiscalía, donde respondan a la guía anterior. </w:t>
      </w:r>
    </w:p>
    <w:p w14:paraId="4BB10987" w14:textId="21B20DD4" w:rsidR="001B6F1D" w:rsidRDefault="001B6F1D" w:rsidP="001B6F1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trámite de apertura quedará condicionado, hasta que presenten la anterior nota. Luego de la presentación de la misma, </w:t>
      </w:r>
      <w:r w:rsidRPr="005F2249">
        <w:rPr>
          <w:sz w:val="22"/>
          <w:szCs w:val="22"/>
        </w:rPr>
        <w:t xml:space="preserve">el trámite será visto por la Junta Directiva </w:t>
      </w:r>
      <w:r w:rsidR="00993E33" w:rsidRPr="005F2249">
        <w:rPr>
          <w:sz w:val="22"/>
          <w:szCs w:val="22"/>
        </w:rPr>
        <w:t xml:space="preserve">quien hará una valoración de la in formación aportada </w:t>
      </w:r>
      <w:r w:rsidRPr="005F2249">
        <w:rPr>
          <w:sz w:val="22"/>
          <w:szCs w:val="22"/>
        </w:rPr>
        <w:t xml:space="preserve">y </w:t>
      </w:r>
      <w:r w:rsidR="00993E33" w:rsidRPr="005F2249">
        <w:rPr>
          <w:sz w:val="22"/>
          <w:szCs w:val="22"/>
        </w:rPr>
        <w:t>en caso de aprobación</w:t>
      </w:r>
      <w:r>
        <w:rPr>
          <w:sz w:val="22"/>
          <w:szCs w:val="22"/>
        </w:rPr>
        <w:t xml:space="preserve">, se emitirán los certificados de regencia y operación provisionales por dos meses, tiempo que se les da para hacer inscripción patronal. </w:t>
      </w:r>
    </w:p>
    <w:p w14:paraId="61C75130" w14:textId="13DF4198" w:rsidR="005142BA" w:rsidRDefault="001B6F1D" w:rsidP="001B6F1D">
      <w:pPr>
        <w:jc w:val="both"/>
      </w:pPr>
      <w:r>
        <w:t>Luego que hagan la inscripción, deben traer el documento que certifique lo anterior (Certificado de Inscripción Patronal)</w:t>
      </w:r>
      <w:r w:rsidR="007D5EB9">
        <w:t>. C</w:t>
      </w:r>
      <w:r>
        <w:t>on este documento se les emitirán los certificados definitivos por un año (regencia) y dos años (operación).</w:t>
      </w:r>
    </w:p>
    <w:p w14:paraId="59A23B02" w14:textId="77777777" w:rsidR="001A0A9F" w:rsidRDefault="001A0A9F" w:rsidP="001B6F1D">
      <w:pPr>
        <w:jc w:val="both"/>
      </w:pPr>
    </w:p>
    <w:p w14:paraId="0ECFDE17" w14:textId="3D2A89B4" w:rsidR="001A0A9F" w:rsidRDefault="001A0A9F" w:rsidP="001B6F1D">
      <w:pPr>
        <w:jc w:val="both"/>
      </w:pPr>
      <w:r>
        <w:t>A continuación</w:t>
      </w:r>
      <w:r w:rsidR="00C35424">
        <w:t>,</w:t>
      </w:r>
      <w:r>
        <w:t xml:space="preserve"> se ejemplifica </w:t>
      </w:r>
      <w:r w:rsidR="00C35424">
        <w:t>una carta guía indagatoria que puede ser utilizada como base para presentar este requisito con la información respectiva a cada establecimiento</w:t>
      </w:r>
    </w:p>
    <w:p w14:paraId="6BC62C6E" w14:textId="77777777" w:rsidR="007632A0" w:rsidRDefault="007632A0" w:rsidP="00C35424">
      <w:pPr>
        <w:pStyle w:val="Default"/>
        <w:jc w:val="center"/>
        <w:rPr>
          <w:b/>
          <w:bCs/>
          <w:sz w:val="32"/>
          <w:szCs w:val="32"/>
        </w:rPr>
      </w:pPr>
    </w:p>
    <w:p w14:paraId="1393D40C" w14:textId="77777777" w:rsidR="007632A0" w:rsidRDefault="007632A0" w:rsidP="00C35424">
      <w:pPr>
        <w:pStyle w:val="Default"/>
        <w:jc w:val="center"/>
        <w:rPr>
          <w:b/>
          <w:bCs/>
          <w:sz w:val="32"/>
          <w:szCs w:val="32"/>
        </w:rPr>
      </w:pPr>
    </w:p>
    <w:p w14:paraId="44989DA6" w14:textId="77777777" w:rsidR="007632A0" w:rsidRDefault="007632A0" w:rsidP="00C35424">
      <w:pPr>
        <w:pStyle w:val="Default"/>
        <w:jc w:val="center"/>
        <w:rPr>
          <w:b/>
          <w:bCs/>
          <w:sz w:val="32"/>
          <w:szCs w:val="32"/>
        </w:rPr>
      </w:pPr>
    </w:p>
    <w:p w14:paraId="3A3F29B6" w14:textId="77777777" w:rsidR="007632A0" w:rsidRDefault="007632A0" w:rsidP="00C35424">
      <w:pPr>
        <w:pStyle w:val="Default"/>
        <w:jc w:val="center"/>
        <w:rPr>
          <w:b/>
          <w:bCs/>
          <w:sz w:val="32"/>
          <w:szCs w:val="32"/>
        </w:rPr>
      </w:pPr>
    </w:p>
    <w:p w14:paraId="1334C74A" w14:textId="2DE4B6A2" w:rsidR="00C35424" w:rsidRPr="00C35424" w:rsidRDefault="00C35424" w:rsidP="00C35424">
      <w:pPr>
        <w:pStyle w:val="Default"/>
        <w:jc w:val="center"/>
        <w:rPr>
          <w:b/>
          <w:bCs/>
          <w:sz w:val="32"/>
          <w:szCs w:val="32"/>
        </w:rPr>
      </w:pPr>
      <w:r w:rsidRPr="00C35424">
        <w:rPr>
          <w:b/>
          <w:bCs/>
          <w:sz w:val="32"/>
          <w:szCs w:val="32"/>
        </w:rPr>
        <w:lastRenderedPageBreak/>
        <w:t>Carta guía indagatoria de la Caja Costarricense de Seguro Social para permisos de regencia y/u operación provisionales</w:t>
      </w:r>
    </w:p>
    <w:p w14:paraId="005CF24C" w14:textId="6ACE137C" w:rsidR="00C35424" w:rsidRDefault="00C35424" w:rsidP="001B6F1D">
      <w:pPr>
        <w:jc w:val="both"/>
      </w:pPr>
    </w:p>
    <w:p w14:paraId="05469147" w14:textId="77777777" w:rsidR="00C35424" w:rsidRDefault="00C35424" w:rsidP="001B6F1D">
      <w:pPr>
        <w:jc w:val="both"/>
      </w:pPr>
    </w:p>
    <w:p w14:paraId="54B18E81" w14:textId="66AF8B7C" w:rsidR="009A0CA8" w:rsidRDefault="00C35424" w:rsidP="001B6F1D">
      <w:pPr>
        <w:jc w:val="both"/>
      </w:pPr>
      <w:r>
        <w:t xml:space="preserve">Yo, </w:t>
      </w:r>
      <w:r w:rsidR="00521585" w:rsidRPr="00521585">
        <w:rPr>
          <w:color w:val="AEAAAA" w:themeColor="background2" w:themeShade="BF"/>
          <w:u w:val="single"/>
        </w:rPr>
        <w:t>(coloque el nombre completo del Propietario o Representante legal del establecimiento)</w:t>
      </w:r>
      <w:r>
        <w:t xml:space="preserve">, </w:t>
      </w:r>
      <w:r w:rsidR="00FD31CD">
        <w:t>número de identificación</w:t>
      </w:r>
      <w:r w:rsidR="00521585">
        <w:t xml:space="preserve"> </w:t>
      </w:r>
      <w:r w:rsidR="007E44F3" w:rsidRPr="00521585">
        <w:rPr>
          <w:color w:val="AEAAAA" w:themeColor="background2" w:themeShade="BF"/>
          <w:u w:val="single"/>
        </w:rPr>
        <w:t>(coloque el número de documento de identificación del Propietario o Representante legal</w:t>
      </w:r>
      <w:r w:rsidR="006D1383">
        <w:rPr>
          <w:color w:val="AEAAAA" w:themeColor="background2" w:themeShade="BF"/>
          <w:u w:val="single"/>
        </w:rPr>
        <w:t>)</w:t>
      </w:r>
      <w:r w:rsidR="00FD31CD">
        <w:t xml:space="preserve">, </w:t>
      </w:r>
      <w:r>
        <w:t xml:space="preserve">en mi calidad de </w:t>
      </w:r>
      <w:r w:rsidR="000A5260" w:rsidRPr="006D1383">
        <w:rPr>
          <w:color w:val="AEAAAA" w:themeColor="background2" w:themeShade="BF"/>
          <w:u w:val="single"/>
        </w:rPr>
        <w:t>(</w:t>
      </w:r>
      <w:r w:rsidR="00FB16C9" w:rsidRPr="006D1383">
        <w:rPr>
          <w:color w:val="AEAAAA" w:themeColor="background2" w:themeShade="BF"/>
          <w:u w:val="single"/>
        </w:rPr>
        <w:t>Coloque si es propietario, representante legal u apoderado)</w:t>
      </w:r>
      <w:r w:rsidR="0059659D">
        <w:t xml:space="preserve"> </w:t>
      </w:r>
      <w:r w:rsidR="00182A23">
        <w:t xml:space="preserve">del establecimiento </w:t>
      </w:r>
      <w:r w:rsidR="00182A23" w:rsidRPr="006D1383">
        <w:rPr>
          <w:color w:val="AEAAAA" w:themeColor="background2" w:themeShade="BF"/>
          <w:u w:val="single"/>
        </w:rPr>
        <w:t>(coloque el nombre comercial o fantasía del establecimiento)</w:t>
      </w:r>
      <w:r w:rsidR="00182A23">
        <w:rPr>
          <w:color w:val="AEAAAA" w:themeColor="background2" w:themeShade="BF"/>
          <w:u w:val="single"/>
        </w:rPr>
        <w:t xml:space="preserve">, </w:t>
      </w:r>
      <w:r w:rsidR="00E85FB6">
        <w:rPr>
          <w:color w:val="AEAAAA" w:themeColor="background2" w:themeShade="BF"/>
          <w:u w:val="single"/>
        </w:rPr>
        <w:t xml:space="preserve">permiso de operación (se omite en aperturas) </w:t>
      </w:r>
      <w:r w:rsidR="0059659D">
        <w:t xml:space="preserve">declaro que por motivo de </w:t>
      </w:r>
      <w:r w:rsidR="0088224B" w:rsidRPr="0088224B">
        <w:rPr>
          <w:color w:val="AEAAAA" w:themeColor="background2" w:themeShade="BF"/>
          <w:u w:val="single"/>
        </w:rPr>
        <w:t xml:space="preserve">(colocar el motivo por el cual aún no se encuentra inscrito, puede ser </w:t>
      </w:r>
      <w:r w:rsidR="0059659D" w:rsidRPr="0088224B">
        <w:rPr>
          <w:color w:val="AEAAAA" w:themeColor="background2" w:themeShade="BF"/>
          <w:u w:val="single"/>
        </w:rPr>
        <w:t>apertura</w:t>
      </w:r>
      <w:r w:rsidR="0088224B" w:rsidRPr="0088224B">
        <w:rPr>
          <w:color w:val="AEAAAA" w:themeColor="background2" w:themeShade="BF"/>
          <w:u w:val="single"/>
        </w:rPr>
        <w:t xml:space="preserve">, </w:t>
      </w:r>
      <w:r w:rsidR="00E85FB6" w:rsidRPr="0088224B">
        <w:rPr>
          <w:color w:val="AEAAAA" w:themeColor="background2" w:themeShade="BF"/>
          <w:u w:val="single"/>
        </w:rPr>
        <w:t>cambio de propietario</w:t>
      </w:r>
      <w:r w:rsidR="0088224B" w:rsidRPr="0088224B">
        <w:rPr>
          <w:color w:val="AEAAAA" w:themeColor="background2" w:themeShade="BF"/>
          <w:u w:val="single"/>
        </w:rPr>
        <w:t xml:space="preserve">, la sociedad o negocio </w:t>
      </w:r>
      <w:r w:rsidR="002310F3">
        <w:rPr>
          <w:color w:val="AEAAAA" w:themeColor="background2" w:themeShade="BF"/>
          <w:u w:val="single"/>
        </w:rPr>
        <w:t xml:space="preserve">es </w:t>
      </w:r>
      <w:r w:rsidR="0088224B" w:rsidRPr="0088224B">
        <w:rPr>
          <w:color w:val="AEAAAA" w:themeColor="background2" w:themeShade="BF"/>
          <w:u w:val="single"/>
        </w:rPr>
        <w:t>nuevo, anteriormente no tenía empleados y ahora sí, entre otros)</w:t>
      </w:r>
      <w:r w:rsidR="0059659D" w:rsidRPr="0088224B">
        <w:rPr>
          <w:color w:val="AEAAAA" w:themeColor="background2" w:themeShade="BF"/>
        </w:rPr>
        <w:t xml:space="preserve"> </w:t>
      </w:r>
      <w:r w:rsidR="0059659D">
        <w:t>de</w:t>
      </w:r>
      <w:r w:rsidR="00B4526F">
        <w:t>l establecimiento indicado no me encuentro inscrito como patrono ante la Caja Costarricense del Seguro Social</w:t>
      </w:r>
      <w:r w:rsidR="009A0CA8">
        <w:t xml:space="preserve">. </w:t>
      </w:r>
    </w:p>
    <w:p w14:paraId="3B4BE763" w14:textId="5EB85D6B" w:rsidR="00E85FB6" w:rsidRDefault="009A0CA8" w:rsidP="001B6F1D">
      <w:pPr>
        <w:jc w:val="both"/>
        <w:rPr>
          <w:color w:val="AEAAAA" w:themeColor="background2" w:themeShade="BF"/>
          <w:u w:val="single"/>
        </w:rPr>
      </w:pPr>
      <w:r>
        <w:t>En el establecimiento se realizarán las siguientes actividades</w:t>
      </w:r>
      <w:r w:rsidR="005F2249">
        <w:t>:</w:t>
      </w:r>
      <w:r w:rsidR="0067067D">
        <w:t xml:space="preserve"> </w:t>
      </w:r>
      <w:r w:rsidRPr="009A0CA8">
        <w:rPr>
          <w:color w:val="AEAAAA" w:themeColor="background2" w:themeShade="BF"/>
          <w:u w:val="single"/>
        </w:rPr>
        <w:t>(colocar la actividad general</w:t>
      </w:r>
      <w:r w:rsidR="00CA7A09">
        <w:rPr>
          <w:color w:val="AEAAAA" w:themeColor="background2" w:themeShade="BF"/>
          <w:u w:val="single"/>
        </w:rPr>
        <w:t xml:space="preserve"> y actividades específicas</w:t>
      </w:r>
      <w:r w:rsidRPr="009A0CA8">
        <w:rPr>
          <w:color w:val="AEAAAA" w:themeColor="background2" w:themeShade="BF"/>
          <w:u w:val="single"/>
        </w:rPr>
        <w:t xml:space="preserve"> que se van a realizar en el establecimiento</w:t>
      </w:r>
      <w:r w:rsidR="002A37FD">
        <w:rPr>
          <w:color w:val="AEAAAA" w:themeColor="background2" w:themeShade="BF"/>
          <w:u w:val="single"/>
        </w:rPr>
        <w:t>, usar como base las actividades detalladas en el formulario de permiso de operación para aperturas</w:t>
      </w:r>
      <w:r w:rsidRPr="009A0CA8">
        <w:rPr>
          <w:color w:val="AEAAAA" w:themeColor="background2" w:themeShade="BF"/>
          <w:u w:val="single"/>
        </w:rPr>
        <w:t>)</w:t>
      </w:r>
      <w:r w:rsidR="006B1223" w:rsidRPr="00DD5EC7">
        <w:rPr>
          <w:color w:val="AEAAAA" w:themeColor="background2" w:themeShade="BF"/>
        </w:rPr>
        <w:t xml:space="preserve"> </w:t>
      </w:r>
      <w:r w:rsidR="006B1223" w:rsidRPr="006B1223">
        <w:t xml:space="preserve">que tienen una duración </w:t>
      </w:r>
      <w:r w:rsidR="009525E7">
        <w:t xml:space="preserve">indefinida en un horario </w:t>
      </w:r>
      <w:r w:rsidR="00990886">
        <w:t xml:space="preserve">de operación de </w:t>
      </w:r>
      <w:r w:rsidR="00990886" w:rsidRPr="00990886">
        <w:rPr>
          <w:color w:val="AEAAAA" w:themeColor="background2" w:themeShade="BF"/>
          <w:u w:val="single"/>
        </w:rPr>
        <w:t>(colocar el horario de operación del establecimiento, indicando días y horas en las que se realizan las actividades)</w:t>
      </w:r>
      <w:r w:rsidR="005F6BCC">
        <w:rPr>
          <w:color w:val="AEAAAA" w:themeColor="background2" w:themeShade="BF"/>
          <w:u w:val="single"/>
        </w:rPr>
        <w:t xml:space="preserve">; </w:t>
      </w:r>
      <w:r w:rsidR="005F6BCC" w:rsidRPr="005F6BCC">
        <w:t>iniciando las actividades en fecha</w:t>
      </w:r>
      <w:r w:rsidR="005F6BCC" w:rsidRPr="005F6BCC">
        <w:rPr>
          <w:u w:val="single"/>
        </w:rPr>
        <w:t xml:space="preserve"> </w:t>
      </w:r>
      <w:r w:rsidR="005F6BCC">
        <w:rPr>
          <w:color w:val="AEAAAA" w:themeColor="background2" w:themeShade="BF"/>
          <w:u w:val="single"/>
        </w:rPr>
        <w:t>(indicar la fecha en la que se estima se hará la apertura del establecimient</w:t>
      </w:r>
      <w:r w:rsidR="005F6BCC" w:rsidRPr="00A6094A">
        <w:rPr>
          <w:color w:val="AEAAAA" w:themeColor="background2" w:themeShade="BF"/>
          <w:u w:val="single"/>
        </w:rPr>
        <w:t>o</w:t>
      </w:r>
      <w:r w:rsidR="005F6BCC" w:rsidRPr="00A6094A">
        <w:rPr>
          <w:color w:val="AEAAAA" w:themeColor="background2" w:themeShade="BF"/>
        </w:rPr>
        <w:t>)</w:t>
      </w:r>
      <w:r w:rsidR="005F2249">
        <w:rPr>
          <w:color w:val="AEAAAA" w:themeColor="background2" w:themeShade="BF"/>
        </w:rPr>
        <w:t xml:space="preserve">; </w:t>
      </w:r>
      <w:r w:rsidR="005F2249" w:rsidRPr="005F2249">
        <w:t>la(s) actividad(es) aquí indicada(s) se desarrollar</w:t>
      </w:r>
      <w:r w:rsidR="00B215A6">
        <w:t>a</w:t>
      </w:r>
      <w:r w:rsidR="005F2249" w:rsidRPr="005F2249">
        <w:t xml:space="preserve">(n) de manera </w:t>
      </w:r>
      <w:r w:rsidR="00A6094A">
        <w:rPr>
          <w:color w:val="AEAAAA" w:themeColor="background2" w:themeShade="BF"/>
          <w:u w:val="single"/>
        </w:rPr>
        <w:t>(colocar si las actividades se desarrollarán de manera ordinaria o temporal).</w:t>
      </w:r>
      <w:r w:rsidR="00E85FB6">
        <w:rPr>
          <w:color w:val="AEAAAA" w:themeColor="background2" w:themeShade="BF"/>
          <w:u w:val="single"/>
        </w:rPr>
        <w:t xml:space="preserve"> </w:t>
      </w:r>
    </w:p>
    <w:p w14:paraId="6876820F" w14:textId="2F52CEB2" w:rsidR="00C651DB" w:rsidRDefault="007632A0" w:rsidP="001B6F1D">
      <w:pPr>
        <w:jc w:val="both"/>
      </w:pPr>
      <w:r>
        <w:t>Para las</w:t>
      </w:r>
      <w:r w:rsidR="005F2861">
        <w:t xml:space="preserve"> actividades del establecimiento indicado se </w:t>
      </w:r>
      <w:r>
        <w:t>contará con la siguiente cantidad de personas:</w:t>
      </w:r>
      <w:r w:rsidR="00E84785">
        <w:t xml:space="preserve"> </w:t>
      </w:r>
      <w:r w:rsidR="00E84785" w:rsidRPr="00E84785">
        <w:rPr>
          <w:color w:val="AEAAAA" w:themeColor="background2" w:themeShade="BF"/>
          <w:u w:val="single"/>
        </w:rPr>
        <w:t>(</w:t>
      </w:r>
      <w:r>
        <w:rPr>
          <w:color w:val="AEAAAA" w:themeColor="background2" w:themeShade="BF"/>
          <w:u w:val="single"/>
        </w:rPr>
        <w:t>indicar la cantidad de personas que van a laborar en el establecimiento</w:t>
      </w:r>
      <w:r w:rsidR="00E84785" w:rsidRPr="00F94386">
        <w:rPr>
          <w:color w:val="AEAAAA" w:themeColor="background2" w:themeShade="BF"/>
        </w:rPr>
        <w:t>).</w:t>
      </w:r>
      <w:r w:rsidR="00E84785" w:rsidRPr="00F94386">
        <w:t xml:space="preserve"> </w:t>
      </w:r>
    </w:p>
    <w:p w14:paraId="3332774D" w14:textId="77777777" w:rsidR="00C651DB" w:rsidRDefault="00C651DB" w:rsidP="001B6F1D">
      <w:pPr>
        <w:jc w:val="both"/>
      </w:pPr>
    </w:p>
    <w:p w14:paraId="66A88589" w14:textId="77777777" w:rsidR="00182A23" w:rsidRDefault="00182A23" w:rsidP="001B6F1D">
      <w:pPr>
        <w:jc w:val="both"/>
      </w:pPr>
    </w:p>
    <w:p w14:paraId="2B1A719C" w14:textId="517372F9" w:rsidR="00182A23" w:rsidRDefault="00182A23" w:rsidP="00182A23">
      <w:pPr>
        <w:jc w:val="center"/>
      </w:pPr>
      <w:r>
        <w:t>__________________________________</w:t>
      </w:r>
    </w:p>
    <w:p w14:paraId="2CDD27F4" w14:textId="402277BF" w:rsidR="00182A23" w:rsidRDefault="00182A23" w:rsidP="00182A23">
      <w:pPr>
        <w:jc w:val="center"/>
      </w:pPr>
      <w:r>
        <w:t>Firma del propietario, representante legal o apoderado del establecimiento</w:t>
      </w:r>
    </w:p>
    <w:p w14:paraId="37548340" w14:textId="77777777" w:rsidR="00182A23" w:rsidRDefault="00182A23" w:rsidP="00182A23">
      <w:pPr>
        <w:jc w:val="center"/>
      </w:pPr>
    </w:p>
    <w:p w14:paraId="5A908635" w14:textId="77777777" w:rsidR="00182A23" w:rsidRDefault="00182A23" w:rsidP="00182A23">
      <w:pPr>
        <w:jc w:val="center"/>
      </w:pPr>
    </w:p>
    <w:p w14:paraId="510A752C" w14:textId="24B5D930" w:rsidR="00182A23" w:rsidRDefault="00182A23" w:rsidP="00182A23">
      <w:pPr>
        <w:jc w:val="center"/>
      </w:pPr>
      <w:r>
        <w:t>Fecha: ______________________________</w:t>
      </w:r>
    </w:p>
    <w:sectPr w:rsidR="00182A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1D"/>
    <w:rsid w:val="000A5260"/>
    <w:rsid w:val="000E79C7"/>
    <w:rsid w:val="001151A5"/>
    <w:rsid w:val="0012429F"/>
    <w:rsid w:val="00182A23"/>
    <w:rsid w:val="001A0A9F"/>
    <w:rsid w:val="001B6F1D"/>
    <w:rsid w:val="001C7A89"/>
    <w:rsid w:val="001E0331"/>
    <w:rsid w:val="001E647C"/>
    <w:rsid w:val="002032BC"/>
    <w:rsid w:val="002310F3"/>
    <w:rsid w:val="0023689E"/>
    <w:rsid w:val="00236E5A"/>
    <w:rsid w:val="00247C06"/>
    <w:rsid w:val="002604F3"/>
    <w:rsid w:val="002A37FD"/>
    <w:rsid w:val="002A6F17"/>
    <w:rsid w:val="002D5DFE"/>
    <w:rsid w:val="002E6399"/>
    <w:rsid w:val="002F7EC0"/>
    <w:rsid w:val="0035701A"/>
    <w:rsid w:val="00443E54"/>
    <w:rsid w:val="00497E6D"/>
    <w:rsid w:val="005142BA"/>
    <w:rsid w:val="00515A9A"/>
    <w:rsid w:val="00521585"/>
    <w:rsid w:val="005549C1"/>
    <w:rsid w:val="0056121C"/>
    <w:rsid w:val="00574AD2"/>
    <w:rsid w:val="0059659D"/>
    <w:rsid w:val="005D1766"/>
    <w:rsid w:val="005D64B5"/>
    <w:rsid w:val="005F2249"/>
    <w:rsid w:val="005F2861"/>
    <w:rsid w:val="005F6BCC"/>
    <w:rsid w:val="006512E6"/>
    <w:rsid w:val="0067067D"/>
    <w:rsid w:val="00670B3B"/>
    <w:rsid w:val="00697739"/>
    <w:rsid w:val="006B1223"/>
    <w:rsid w:val="006B56CA"/>
    <w:rsid w:val="006D1383"/>
    <w:rsid w:val="007632A0"/>
    <w:rsid w:val="0076387F"/>
    <w:rsid w:val="00776BB4"/>
    <w:rsid w:val="007D5EB9"/>
    <w:rsid w:val="007E20B0"/>
    <w:rsid w:val="007E3D1E"/>
    <w:rsid w:val="007E44F3"/>
    <w:rsid w:val="007E78C5"/>
    <w:rsid w:val="00800225"/>
    <w:rsid w:val="0088224B"/>
    <w:rsid w:val="008A6AFF"/>
    <w:rsid w:val="009370F2"/>
    <w:rsid w:val="009525E7"/>
    <w:rsid w:val="00990886"/>
    <w:rsid w:val="00993E33"/>
    <w:rsid w:val="009A0CA8"/>
    <w:rsid w:val="009C67FB"/>
    <w:rsid w:val="009C6A8B"/>
    <w:rsid w:val="009E6432"/>
    <w:rsid w:val="00A6094A"/>
    <w:rsid w:val="00AA75A7"/>
    <w:rsid w:val="00AD5962"/>
    <w:rsid w:val="00B215A6"/>
    <w:rsid w:val="00B2776F"/>
    <w:rsid w:val="00B4526F"/>
    <w:rsid w:val="00C30147"/>
    <w:rsid w:val="00C35424"/>
    <w:rsid w:val="00C511B7"/>
    <w:rsid w:val="00C61F16"/>
    <w:rsid w:val="00C651DB"/>
    <w:rsid w:val="00C92856"/>
    <w:rsid w:val="00CA14C4"/>
    <w:rsid w:val="00CA7A09"/>
    <w:rsid w:val="00D00471"/>
    <w:rsid w:val="00D64E86"/>
    <w:rsid w:val="00DD5EC7"/>
    <w:rsid w:val="00E11F1E"/>
    <w:rsid w:val="00E22BEC"/>
    <w:rsid w:val="00E84785"/>
    <w:rsid w:val="00E85FB6"/>
    <w:rsid w:val="00EA509A"/>
    <w:rsid w:val="00F0241E"/>
    <w:rsid w:val="00F31C3B"/>
    <w:rsid w:val="00F32F73"/>
    <w:rsid w:val="00F92C8D"/>
    <w:rsid w:val="00F94386"/>
    <w:rsid w:val="00FB16C9"/>
    <w:rsid w:val="00FC6133"/>
    <w:rsid w:val="00FD16CD"/>
    <w:rsid w:val="00F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4195"/>
  <w15:chartTrackingRefBased/>
  <w15:docId w15:val="{70EA20EC-31A7-426E-8356-4C910A98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6F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ui-provider">
    <w:name w:val="ui-provider"/>
    <w:basedOn w:val="Fuentedeprrafopredeter"/>
    <w:rsid w:val="00D00471"/>
  </w:style>
  <w:style w:type="paragraph" w:styleId="Revisin">
    <w:name w:val="Revision"/>
    <w:hidden/>
    <w:uiPriority w:val="99"/>
    <w:semiHidden/>
    <w:rsid w:val="00E85FB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3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Yuliana Vega Brown</dc:creator>
  <cp:keywords/>
  <dc:description/>
  <cp:lastModifiedBy>Dra. Yuliana Vega Brown</cp:lastModifiedBy>
  <cp:revision>3</cp:revision>
  <dcterms:created xsi:type="dcterms:W3CDTF">2024-07-12T21:37:00Z</dcterms:created>
  <dcterms:modified xsi:type="dcterms:W3CDTF">2024-07-12T21:38:00Z</dcterms:modified>
</cp:coreProperties>
</file>